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F259" w14:textId="3DDCAC98"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1FAE18F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w:t>
            </w:r>
            <w:r w:rsidR="001D52B4">
              <w:rPr>
                <w:rFonts w:eastAsia="Calibri" w:cstheme="minorHAnsi"/>
                <w:bCs/>
              </w:rPr>
              <w:t>p</w:t>
            </w:r>
            <w:r>
              <w:rPr>
                <w:rFonts w:eastAsia="Calibri" w:cstheme="minorHAnsi"/>
                <w:bCs/>
              </w:rPr>
              <w:t xml:space="preserve">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7559944E" w14:textId="77777777" w:rsidR="006D24A0" w:rsidRPr="004C3AAC" w:rsidRDefault="006D24A0" w:rsidP="006D24A0">
            <w:pPr>
              <w:jc w:val="both"/>
              <w:rPr>
                <w:rFonts w:eastAsia="Calibri" w:cstheme="minorHAnsi"/>
                <w:bCs/>
                <w:color w:val="FF0000"/>
              </w:rPr>
            </w:pPr>
          </w:p>
          <w:p w14:paraId="76C0A136" w14:textId="339D145C"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41DC0">
              <w:rPr>
                <w:rFonts w:eastAsia="Calibri" w:cstheme="minorHAnsi"/>
                <w:bCs/>
              </w:rPr>
              <w:t>Buckinghamshire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0A5F298D"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4E8BC15D"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We may share anonymous</w:t>
            </w:r>
            <w:r w:rsidR="004E2F96">
              <w:rPr>
                <w:rFonts w:eastAsia="Calibri" w:cstheme="minorHAnsi"/>
                <w:bCs/>
              </w:rPr>
              <w:t xml:space="preserve"> </w:t>
            </w:r>
            <w:r w:rsidR="001D52B4">
              <w:rPr>
                <w:rFonts w:eastAsia="Calibri" w:cstheme="minorHAnsi"/>
                <w:bCs/>
              </w:rPr>
              <w:t xml:space="preserve">or pseudonymised </w:t>
            </w:r>
            <w:r>
              <w:rPr>
                <w:rFonts w:eastAsia="Calibri" w:cstheme="minorHAnsi"/>
                <w:bCs/>
              </w:rPr>
              <w:t xml:space="preserve">patient information with research companies for the purpose of exploring new ways of providing healthcare and treatment for patients with </w:t>
            </w:r>
            <w:r>
              <w:rPr>
                <w:rFonts w:eastAsia="Calibri" w:cstheme="minorHAnsi"/>
                <w:bCs/>
              </w:rPr>
              <w:lastRenderedPageBreak/>
              <w:t xml:space="preserve">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61E30B9E" w:rsidR="006D24A0" w:rsidRDefault="006D24A0" w:rsidP="006D24A0">
            <w:pPr>
              <w:jc w:val="both"/>
              <w:rPr>
                <w:rFonts w:eastAsia="Calibri" w:cstheme="minorHAnsi"/>
                <w:bCs/>
              </w:rPr>
            </w:pPr>
            <w:r>
              <w:rPr>
                <w:rFonts w:eastAsia="Calibri" w:cstheme="minorHAnsi"/>
                <w:bCs/>
              </w:rPr>
              <w:t xml:space="preserve">Where you have opted out of having your information shared for this </w:t>
            </w:r>
            <w:r w:rsidR="001D52B4">
              <w:rPr>
                <w:rFonts w:eastAsia="Calibri" w:cstheme="minorHAnsi"/>
                <w:bCs/>
              </w:rPr>
              <w:t>p</w:t>
            </w:r>
            <w:r>
              <w:rPr>
                <w:rFonts w:eastAsia="Calibri" w:cstheme="minorHAnsi"/>
                <w:bCs/>
              </w:rPr>
              <w:t xml:space="preserve">lanning or </w:t>
            </w:r>
            <w:r w:rsidR="001D52B4">
              <w:rPr>
                <w:rFonts w:eastAsia="Calibri" w:cstheme="minorHAnsi"/>
                <w:bCs/>
              </w:rPr>
              <w:t>r</w:t>
            </w:r>
            <w:r>
              <w:rPr>
                <w:rFonts w:eastAsia="Calibri" w:cstheme="minorHAnsi"/>
                <w:bCs/>
              </w:rPr>
              <w:t>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Pr="002A1C6F" w:rsidRDefault="006D24A0" w:rsidP="006D24A0">
            <w:pPr>
              <w:jc w:val="both"/>
              <w:rPr>
                <w:rFonts w:cstheme="minorHAnsi"/>
                <w:bCs/>
                <w:color w:val="000000" w:themeColor="text1"/>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46C3BABC"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17783AE9" w:rsidR="006D24A0" w:rsidRPr="00954E04" w:rsidRDefault="006D24A0" w:rsidP="006D24A0">
            <w:pPr>
              <w:jc w:val="both"/>
              <w:rPr>
                <w:rFonts w:eastAsia="Calibri" w:cstheme="minorHAnsi"/>
                <w:b/>
                <w:bCs/>
              </w:rPr>
            </w:pPr>
            <w:r>
              <w:rPr>
                <w:rFonts w:eastAsia="Calibri" w:cstheme="minorHAnsi"/>
                <w:b/>
                <w:bCs/>
              </w:rPr>
              <w:t xml:space="preserve">Processor – </w:t>
            </w:r>
            <w:r w:rsidR="00E41DC0">
              <w:rPr>
                <w:rFonts w:eastAsia="Calibri" w:cstheme="minorHAnsi"/>
                <w:bCs/>
              </w:rPr>
              <w:t xml:space="preserve">NIHR, Velocity </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0BA40BBE" w:rsidR="00E41DC0" w:rsidRPr="00E41DC0" w:rsidRDefault="006D24A0" w:rsidP="006D24A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E41DC0">
              <w:rPr>
                <w:rFonts w:eastAsia="Calibri" w:cstheme="minorHAnsi"/>
                <w:bCs/>
              </w:rPr>
              <w:t xml:space="preserve"> BOB ICB </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w:t>
            </w:r>
            <w:r w:rsidRPr="00954E04">
              <w:rPr>
                <w:rFonts w:eastAsia="Calibri" w:cstheme="minorHAnsi"/>
                <w:bCs/>
              </w:rPr>
              <w:lastRenderedPageBreak/>
              <w:t>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472415A4"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41DC0">
              <w:rPr>
                <w:rFonts w:eastAsia="Calibri" w:cstheme="minorHAnsi"/>
                <w:bCs/>
              </w:rPr>
              <w:t>Buckinghamshire Safeguarding Team</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1B646E46"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41DC0">
              <w:rPr>
                <w:rFonts w:eastAsia="Calibri" w:cstheme="minorHAnsi"/>
                <w:bCs/>
              </w:rPr>
              <w:t>- Buckinghamshire Safeguarding Team</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w:t>
            </w:r>
            <w:r w:rsidRPr="00954E04">
              <w:rPr>
                <w:rFonts w:cstheme="minorHAnsi"/>
                <w:sz w:val="23"/>
                <w:szCs w:val="23"/>
              </w:rPr>
              <w:lastRenderedPageBreak/>
              <w:t>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6E41C8A6"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E41DC0">
              <w:rPr>
                <w:rFonts w:cstheme="minorHAnsi"/>
                <w:lang w:val="en-US"/>
              </w:rPr>
              <w:t>Bucks ICB</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w:t>
            </w:r>
            <w:r w:rsidRPr="00954E04">
              <w:rPr>
                <w:rFonts w:eastAsia="Calibri" w:cstheme="minorHAnsi"/>
                <w:bCs/>
              </w:rPr>
              <w:lastRenderedPageBreak/>
              <w:t>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6D07CEE5"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E41DC0">
              <w:rPr>
                <w:rFonts w:cstheme="minorHAnsi"/>
              </w:rPr>
              <w:t>Buckinghamshire, Oxfordshire and Berkshire Trust</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126DAD57" w:rsidR="007D0FB5" w:rsidRPr="007D0FB5" w:rsidRDefault="007D0FB5" w:rsidP="007D0FB5">
            <w:pPr>
              <w:numPr>
                <w:ilvl w:val="0"/>
                <w:numId w:val="1"/>
              </w:numPr>
              <w:autoSpaceDE w:val="0"/>
              <w:autoSpaceDN w:val="0"/>
              <w:adjustRightInd w:val="0"/>
              <w:contextualSpacing/>
              <w:jc w:val="both"/>
              <w:rPr>
                <w:rFonts w:cstheme="minorHAnsi"/>
              </w:rPr>
            </w:pPr>
            <w:r w:rsidRPr="002F6A9F">
              <w:rPr>
                <w:rFonts w:cstheme="minorHAnsi"/>
              </w:rPr>
              <w:t>Article 6(1)(</w:t>
            </w:r>
            <w:r w:rsidR="002F6A9F">
              <w:rPr>
                <w:rFonts w:cstheme="minorHAnsi"/>
              </w:rPr>
              <w:t>c</w:t>
            </w:r>
            <w:r w:rsidRPr="002F6A9F">
              <w:rPr>
                <w:rFonts w:cstheme="minorHAnsi"/>
              </w:rPr>
              <w:t>)</w:t>
            </w:r>
            <w:r w:rsidRPr="007D0FB5">
              <w:rPr>
                <w:rFonts w:cstheme="minorHAnsi"/>
              </w:rPr>
              <w:t xml:space="preserve"> ‘…</w:t>
            </w:r>
            <w:r w:rsidR="00437C2E" w:rsidRPr="00437C2E">
              <w:rPr>
                <w:rFonts w:cstheme="minorHAnsi"/>
              </w:rPr>
              <w:t>processing is necessary for compliance with a legal obligation</w:t>
            </w:r>
            <w:r w:rsidR="00437C2E">
              <w:rPr>
                <w:rFonts w:cstheme="minorHAnsi"/>
              </w:rPr>
              <w:t>’;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 xml:space="preserve">Identify early actions to keep people well, not only focusing on people in direct contact with </w:t>
            </w:r>
            <w:proofErr w:type="gramStart"/>
            <w:r w:rsidRPr="002B05A9">
              <w:rPr>
                <w:rFonts w:eastAsia="Calibri" w:cstheme="minorHAnsi"/>
              </w:rPr>
              <w:t>services, but</w:t>
            </w:r>
            <w:proofErr w:type="gramEnd"/>
            <w:r w:rsidRPr="002B05A9">
              <w:rPr>
                <w:rFonts w:eastAsia="Calibri" w:cstheme="minorHAnsi"/>
              </w:rPr>
              <w:t xml:space="preserve"> looking to </w:t>
            </w:r>
            <w:proofErr w:type="gramStart"/>
            <w:r w:rsidRPr="002B05A9">
              <w:rPr>
                <w:rFonts w:eastAsia="Calibri" w:cstheme="minorHAnsi"/>
              </w:rPr>
              <w:t>join  up</w:t>
            </w:r>
            <w:proofErr w:type="gramEnd"/>
            <w:r w:rsidRPr="002B05A9">
              <w:rPr>
                <w:rFonts w:eastAsia="Calibri" w:cstheme="minorHAnsi"/>
              </w:rPr>
              <w:t xml:space="preserve">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39313CAC" w:rsidR="006D24A0" w:rsidRPr="00954E04" w:rsidRDefault="006D24A0" w:rsidP="006D24A0">
            <w:pPr>
              <w:jc w:val="both"/>
              <w:rPr>
                <w:rFonts w:eastAsia="Calibri" w:cstheme="minorHAnsi"/>
                <w:b/>
                <w:bCs/>
              </w:rPr>
            </w:pPr>
            <w:r w:rsidRPr="00A126AF">
              <w:rPr>
                <w:rFonts w:eastAsia="Calibri" w:cstheme="minorHAnsi"/>
                <w:b/>
                <w:bCs/>
              </w:rPr>
              <w:t xml:space="preserve">Data </w:t>
            </w:r>
            <w:proofErr w:type="gramStart"/>
            <w:r w:rsidRPr="00E41DC0">
              <w:rPr>
                <w:rFonts w:eastAsia="Calibri" w:cstheme="minorHAnsi"/>
                <w:b/>
                <w:bCs/>
              </w:rPr>
              <w:t>Processors  -</w:t>
            </w:r>
            <w:proofErr w:type="gramEnd"/>
            <w:r w:rsidRPr="00E41DC0">
              <w:rPr>
                <w:rFonts w:eastAsia="Calibri" w:cstheme="minorHAnsi"/>
                <w:b/>
                <w:bCs/>
              </w:rPr>
              <w:t xml:space="preserve">  </w:t>
            </w:r>
            <w:r w:rsidRPr="00E41DC0">
              <w:rPr>
                <w:rFonts w:eastAsia="Calibri" w:cstheme="minorHAnsi"/>
              </w:rPr>
              <w:t>Optum</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lastRenderedPageBreak/>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4417A12" w14:textId="733CC574"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7B01E9D5" w14:textId="04118B9B"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sidR="003E1630">
              <w:rPr>
                <w:rFonts w:cstheme="minorHAnsi"/>
              </w:rPr>
              <w:t>’.</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D6FDDF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r w:rsidR="003E1630">
              <w:rPr>
                <w:rFonts w:cstheme="minorHAnsi"/>
              </w:rPr>
              <w:t>.</w:t>
            </w:r>
          </w:p>
          <w:p w14:paraId="212851DE" w14:textId="77777777" w:rsidR="006D24A0" w:rsidRPr="00954E04" w:rsidRDefault="006D24A0" w:rsidP="006D24A0">
            <w:pPr>
              <w:jc w:val="both"/>
              <w:rPr>
                <w:rFonts w:cstheme="minorHAnsi"/>
              </w:rPr>
            </w:pPr>
          </w:p>
          <w:p w14:paraId="5493F448" w14:textId="513CE5FA"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 </w:t>
            </w:r>
            <w:r w:rsidRPr="00E41DC0">
              <w:rPr>
                <w:rFonts w:cstheme="minorHAnsi"/>
              </w:rPr>
              <w:t>EMIS</w:t>
            </w:r>
            <w:r w:rsidR="00E41DC0">
              <w:rPr>
                <w:rFonts w:cstheme="minorHAnsi"/>
              </w:rPr>
              <w:t xml:space="preserve"> </w:t>
            </w:r>
            <w:r>
              <w:rPr>
                <w:rFonts w:cstheme="minorHAnsi"/>
              </w:rPr>
              <w:t>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lastRenderedPageBreak/>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4D836794"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14:paraId="649A4707" w14:textId="36E5529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C53F1F">
              <w:rPr>
                <w:rFonts w:cstheme="minorHAnsi"/>
              </w:rPr>
              <w:t>a</w:t>
            </w:r>
            <w:r w:rsidRPr="007D0FB5">
              <w:rPr>
                <w:rFonts w:cstheme="minorHAnsi"/>
              </w:rPr>
              <w:t xml:space="preserve">) </w:t>
            </w:r>
            <w:r w:rsidR="00C53F1F">
              <w:rPr>
                <w:rFonts w:cstheme="minorHAnsi"/>
              </w:rPr>
              <w:t>– explicit consent for special-category data.</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0BDE330B"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A62F51">
              <w:rPr>
                <w:rFonts w:eastAsia="Calibri" w:cstheme="minorHAnsi"/>
                <w:bCs/>
              </w:rPr>
              <w:t>Buckinghamshire ICB</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E41DC0" w:rsidRDefault="006D24A0" w:rsidP="006D24A0">
            <w:pPr>
              <w:rPr>
                <w:rFonts w:eastAsia="Calibri" w:cstheme="minorHAnsi"/>
                <w:bCs/>
              </w:rPr>
            </w:pPr>
            <w:r w:rsidRPr="00E41DC0">
              <w:rPr>
                <w:rFonts w:eastAsia="Calibri" w:cstheme="minorHAnsi"/>
                <w:bCs/>
              </w:rPr>
              <w:t>GP Extended Access</w:t>
            </w:r>
          </w:p>
          <w:p w14:paraId="3D5B1C0B" w14:textId="77777777" w:rsidR="006D24A0" w:rsidRDefault="006D24A0" w:rsidP="006D24A0">
            <w:pPr>
              <w:rPr>
                <w:rFonts w:eastAsia="Calibri" w:cstheme="minorHAnsi"/>
                <w:bCs/>
              </w:rPr>
            </w:pPr>
            <w:r w:rsidRPr="00E41DC0">
              <w:rPr>
                <w:rFonts w:eastAsia="Calibri" w:cstheme="minorHAnsi"/>
                <w:bCs/>
              </w:rPr>
              <w:t>Minor injuries services</w:t>
            </w:r>
          </w:p>
          <w:p w14:paraId="6B4FB75F" w14:textId="77777777" w:rsidR="006D24A0" w:rsidRPr="00954E04" w:rsidRDefault="006D24A0" w:rsidP="006D24A0">
            <w:pPr>
              <w:rPr>
                <w:rFonts w:eastAsia="Calibri" w:cstheme="minorHAnsi"/>
                <w:bCs/>
              </w:rPr>
            </w:pPr>
          </w:p>
        </w:tc>
        <w:tc>
          <w:tcPr>
            <w:tcW w:w="6044" w:type="dxa"/>
          </w:tcPr>
          <w:p w14:paraId="6C3AAE7F" w14:textId="11C2DAF0"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proofErr w:type="spellStart"/>
            <w:r w:rsidR="00E41DC0">
              <w:rPr>
                <w:rFonts w:eastAsia="Calibri" w:cstheme="minorHAnsi"/>
                <w:bCs/>
              </w:rPr>
              <w:t>Fedbucks</w:t>
            </w:r>
            <w:proofErr w:type="spellEnd"/>
            <w:r w:rsidR="00E41DC0">
              <w:rPr>
                <w:rFonts w:eastAsia="Calibri" w:cstheme="minorHAnsi"/>
                <w:bCs/>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064C5593"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41DC0">
              <w:rPr>
                <w:rFonts w:eastAsia="Calibri" w:cstheme="minorHAnsi"/>
                <w:bCs/>
              </w:rPr>
              <w:t>FedBucks</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22E44ED2"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sidR="00E41DC0">
              <w:rPr>
                <w:rFonts w:eastAsia="Calibri" w:cstheme="minorHAnsi"/>
                <w:bCs/>
              </w:rPr>
              <w:t xml:space="preserve"> Unity Health and Cross Keys </w:t>
            </w:r>
            <w:proofErr w:type="gramStart"/>
            <w:r w:rsidR="00E41DC0">
              <w:rPr>
                <w:rFonts w:eastAsia="Calibri" w:cstheme="minorHAnsi"/>
                <w:bCs/>
              </w:rPr>
              <w:t>Surgery</w:t>
            </w:r>
            <w:r w:rsidR="00E41DC0" w:rsidRPr="00954E04">
              <w:rPr>
                <w:rFonts w:eastAsia="Calibri" w:cstheme="minorHAnsi"/>
                <w:bCs/>
              </w:rPr>
              <w:t xml:space="preserve"> </w:t>
            </w:r>
            <w:r w:rsidR="00E41DC0">
              <w:rPr>
                <w:rFonts w:eastAsia="Calibri" w:cstheme="minorHAnsi"/>
                <w:bCs/>
              </w:rPr>
              <w:t xml:space="preserve"> </w:t>
            </w:r>
            <w:r w:rsidRPr="00954E04">
              <w:rPr>
                <w:rFonts w:eastAsia="Calibri" w:cstheme="minorHAnsi"/>
                <w:bCs/>
              </w:rPr>
              <w:t>in</w:t>
            </w:r>
            <w:proofErr w:type="gramEnd"/>
            <w:r w:rsidRPr="00954E04">
              <w:rPr>
                <w:rFonts w:eastAsia="Calibri" w:cstheme="minorHAnsi"/>
                <w:bCs/>
              </w:rPr>
              <w:t xml:space="preserve">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3C1C8FE3"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w:t>
            </w:r>
            <w:proofErr w:type="gramStart"/>
            <w:r w:rsidRPr="00954E04">
              <w:rPr>
                <w:rFonts w:eastAsia="Calibri" w:cstheme="minorHAnsi"/>
                <w:bCs/>
              </w:rPr>
              <w:t xml:space="preserve">– </w:t>
            </w:r>
            <w:r w:rsidR="00E41DC0">
              <w:rPr>
                <w:rFonts w:eastAsia="Calibri" w:cstheme="minorHAnsi"/>
                <w:bCs/>
              </w:rPr>
              <w:t xml:space="preserve"> Unity</w:t>
            </w:r>
            <w:proofErr w:type="gramEnd"/>
            <w:r w:rsidR="00E41DC0">
              <w:rPr>
                <w:rFonts w:eastAsia="Calibri" w:cstheme="minorHAnsi"/>
                <w:bCs/>
              </w:rPr>
              <w:t xml:space="preserve"> Health and Cross Keys Surgery</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761E879C" w:rsidR="006D24A0" w:rsidRPr="00954E04" w:rsidRDefault="006D24A0" w:rsidP="006D24A0">
            <w:pPr>
              <w:rPr>
                <w:rFonts w:eastAsia="Calibri" w:cstheme="minorHAnsi"/>
                <w:b/>
                <w:bCs/>
              </w:rPr>
            </w:pPr>
            <w:r w:rsidRPr="00954E04">
              <w:rPr>
                <w:rFonts w:eastAsia="Calibri" w:cstheme="minorHAnsi"/>
                <w:b/>
                <w:bCs/>
              </w:rPr>
              <w:t xml:space="preserve">Processor </w:t>
            </w:r>
            <w:r w:rsidR="00E41DC0">
              <w:rPr>
                <w:rFonts w:eastAsia="Calibri" w:cstheme="minorHAnsi"/>
                <w:b/>
                <w:bCs/>
              </w:rPr>
              <w:t xml:space="preserve">– Joy, PCN </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377CDAEB" w14:textId="77777777" w:rsidR="003E1630" w:rsidRDefault="006D24A0" w:rsidP="006D24A0">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r w:rsidR="003E1630">
              <w:rPr>
                <w:rFonts w:eastAsia="Calibri" w:cstheme="minorHAnsi"/>
                <w:bCs/>
              </w:rPr>
              <w:t>:</w:t>
            </w:r>
          </w:p>
          <w:p w14:paraId="4718CADD" w14:textId="66B8E063" w:rsidR="003E1630" w:rsidRPr="003E1630" w:rsidRDefault="006D24A0" w:rsidP="003E1630">
            <w:pPr>
              <w:pStyle w:val="ListParagraph"/>
              <w:numPr>
                <w:ilvl w:val="0"/>
                <w:numId w:val="12"/>
              </w:numPr>
              <w:jc w:val="both"/>
              <w:rPr>
                <w:rFonts w:eastAsia="Calibri" w:cstheme="minorHAnsi"/>
                <w:b/>
                <w:bCs/>
              </w:rPr>
            </w:pPr>
            <w:r w:rsidRPr="003E1630">
              <w:rPr>
                <w:rFonts w:eastAsia="Calibri" w:cstheme="minorHAnsi"/>
                <w:bCs/>
              </w:rPr>
              <w:t xml:space="preserve">Article 6(1)(c) </w:t>
            </w:r>
            <w:r w:rsidR="003E1630">
              <w:rPr>
                <w:rFonts w:eastAsia="Calibri" w:cstheme="minorHAnsi"/>
                <w:bCs/>
              </w:rPr>
              <w:t>– to</w:t>
            </w:r>
            <w:r w:rsidRPr="003E1630">
              <w:rPr>
                <w:rFonts w:eastAsia="Calibri" w:cstheme="minorHAnsi"/>
                <w:bCs/>
              </w:rPr>
              <w:t xml:space="preserve"> comply with a legal obligation</w:t>
            </w:r>
            <w:r w:rsidR="003E1630">
              <w:rPr>
                <w:rFonts w:eastAsia="Calibri" w:cstheme="minorHAnsi"/>
                <w:bCs/>
              </w:rPr>
              <w:t>;</w:t>
            </w:r>
            <w:r w:rsidRPr="003E1630">
              <w:rPr>
                <w:rFonts w:eastAsia="Calibri" w:cstheme="minorHAnsi"/>
                <w:bCs/>
              </w:rPr>
              <w:t xml:space="preserve"> and</w:t>
            </w:r>
          </w:p>
          <w:p w14:paraId="1ACBA037" w14:textId="5D851100" w:rsidR="006D24A0" w:rsidRPr="003E1630" w:rsidRDefault="003E1630" w:rsidP="003E1630">
            <w:pPr>
              <w:pStyle w:val="ListParagraph"/>
              <w:numPr>
                <w:ilvl w:val="0"/>
                <w:numId w:val="12"/>
              </w:numPr>
              <w:rPr>
                <w:rFonts w:eastAsia="Calibri" w:cstheme="minorHAnsi"/>
                <w:b/>
                <w:bCs/>
              </w:rPr>
            </w:pPr>
            <w:r>
              <w:rPr>
                <w:rFonts w:eastAsia="Calibri" w:cstheme="minorHAnsi"/>
                <w:bCs/>
              </w:rPr>
              <w:t>A</w:t>
            </w:r>
            <w:r w:rsidR="006D24A0" w:rsidRPr="003E1630">
              <w:rPr>
                <w:rFonts w:eastAsia="Calibri" w:cstheme="minorHAnsi"/>
                <w:bCs/>
              </w:rPr>
              <w:t>rticle</w:t>
            </w:r>
            <w:r>
              <w:rPr>
                <w:rFonts w:eastAsia="Calibri" w:cstheme="minorHAnsi"/>
                <w:bCs/>
              </w:rPr>
              <w:t xml:space="preserve"> </w:t>
            </w:r>
            <w:r w:rsidR="006D24A0" w:rsidRPr="003E1630">
              <w:rPr>
                <w:rFonts w:eastAsia="Calibri" w:cstheme="minorHAnsi"/>
                <w:bCs/>
              </w:rPr>
              <w:t xml:space="preserve">9(2)(h)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6831309B" w:rsidR="006D24A0" w:rsidRPr="00D44587" w:rsidRDefault="006D24A0" w:rsidP="006D24A0">
            <w:pPr>
              <w:rPr>
                <w:rFonts w:eastAsia="Calibri" w:cstheme="minorHAnsi"/>
                <w:bCs/>
                <w:highlight w:val="red"/>
              </w:rPr>
            </w:pPr>
            <w:r w:rsidRPr="007E53C4">
              <w:rPr>
                <w:b/>
                <w:bCs/>
              </w:rPr>
              <w:lastRenderedPageBreak/>
              <w:t>Medical Examiner Service</w:t>
            </w:r>
          </w:p>
        </w:tc>
        <w:tc>
          <w:tcPr>
            <w:tcW w:w="6044" w:type="dxa"/>
            <w:shd w:val="clear" w:color="auto" w:fill="auto"/>
          </w:tcPr>
          <w:p w14:paraId="78C9A046" w14:textId="5454FBB5"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E41DC0">
              <w:rPr>
                <w:color w:val="auto"/>
                <w:sz w:val="22"/>
                <w:szCs w:val="22"/>
                <w:lang w:eastAsia="en-US"/>
              </w:rPr>
              <w:t xml:space="preserve">Buckinghamshire </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D533F17" w14:textId="4C43C096" w:rsidR="006D24A0" w:rsidRPr="00954E04" w:rsidRDefault="006D24A0" w:rsidP="00E41DC0">
            <w:pPr>
              <w:pStyle w:val="NoSpacing"/>
              <w:jc w:val="both"/>
              <w:rPr>
                <w:rFonts w:eastAsia="Calibri" w:cstheme="minorHAnsi"/>
                <w:b/>
                <w:bCs/>
              </w:rPr>
            </w:pPr>
            <w:r>
              <w:rPr>
                <w:b/>
                <w:bCs/>
              </w:rPr>
              <w:t>Processor</w:t>
            </w:r>
            <w:r>
              <w:t xml:space="preserve">: </w:t>
            </w:r>
            <w:r w:rsidRPr="0068088A">
              <w:rPr>
                <w:lang w:eastAsia="en-GB"/>
              </w:rPr>
              <w:t>Medical Examiners service</w:t>
            </w:r>
            <w:r>
              <w:rPr>
                <w:rStyle w:val="textcorrect"/>
              </w:rPr>
              <w:t xml:space="preserve"> – </w:t>
            </w:r>
            <w:r w:rsidR="00E41DC0">
              <w:rPr>
                <w:rStyle w:val="textcorrect"/>
              </w:rPr>
              <w:t>Buckinghamshire</w:t>
            </w: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E41DC0">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3921C2DC"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6(1)(a) and 9(2)(a</w:t>
            </w:r>
            <w:r w:rsidR="003E1630">
              <w:rPr>
                <w:rFonts w:eastAsia="Calibri" w:cstheme="minorHAnsi"/>
                <w:bCs/>
              </w:rPr>
              <w:t xml:space="preserve">) consent by the patient given </w:t>
            </w:r>
            <w:r w:rsidRPr="00954E04">
              <w:rPr>
                <w:rFonts w:eastAsia="Calibri" w:cstheme="minorHAnsi"/>
                <w:bCs/>
              </w:rPr>
              <w:t xml:space="preserve">under contract </w:t>
            </w:r>
            <w:r w:rsidR="003E1630">
              <w:rPr>
                <w:rFonts w:eastAsia="Calibri" w:cstheme="minorHAnsi"/>
                <w:bCs/>
              </w:rPr>
              <w:t>to the provider.</w:t>
            </w:r>
          </w:p>
          <w:p w14:paraId="3842E5DA" w14:textId="77777777" w:rsidR="006D24A0" w:rsidRPr="00954E04" w:rsidRDefault="006D24A0" w:rsidP="006D24A0">
            <w:pPr>
              <w:jc w:val="both"/>
              <w:rPr>
                <w:rFonts w:eastAsia="Calibri" w:cstheme="minorHAnsi"/>
                <w:bCs/>
              </w:rPr>
            </w:pPr>
          </w:p>
          <w:p w14:paraId="7978BC1A" w14:textId="28B2FBBC"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41DC0">
              <w:rPr>
                <w:rFonts w:eastAsia="Calibri" w:cstheme="minorHAnsi"/>
                <w:bCs/>
              </w:rPr>
              <w:t xml:space="preserve">– All Private healthcare companies </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E41DC0" w:rsidRDefault="006D24A0" w:rsidP="006D24A0">
            <w:pPr>
              <w:jc w:val="both"/>
              <w:rPr>
                <w:rFonts w:eastAsia="Calibri" w:cstheme="minorHAnsi"/>
                <w:b/>
                <w:bCs/>
              </w:rPr>
            </w:pPr>
            <w:r w:rsidRPr="00E41DC0">
              <w:rPr>
                <w:rFonts w:eastAsia="Calibri" w:cstheme="minorHAnsi"/>
                <w:b/>
                <w:bCs/>
              </w:rPr>
              <w:t xml:space="preserve">Purpose – </w:t>
            </w:r>
            <w:r w:rsidRPr="00E41DC0">
              <w:rPr>
                <w:rFonts w:eastAsia="Calibri" w:cstheme="minorHAnsi"/>
                <w:bCs/>
              </w:rPr>
              <w:t xml:space="preserve">Personal identifiable information shared with the messaging service in order that messages </w:t>
            </w:r>
            <w:proofErr w:type="gramStart"/>
            <w:r w:rsidRPr="00E41DC0">
              <w:rPr>
                <w:rFonts w:eastAsia="Calibri" w:cstheme="minorHAnsi"/>
                <w:bCs/>
              </w:rPr>
              <w:t>including;</w:t>
            </w:r>
            <w:proofErr w:type="gramEnd"/>
            <w:r w:rsidRPr="00E41DC0">
              <w:rPr>
                <w:rFonts w:eastAsia="Calibri" w:cstheme="minorHAnsi"/>
                <w:bCs/>
              </w:rPr>
              <w:t xml:space="preserve"> appointment reminders; results; campaign messages related to specific </w:t>
            </w:r>
            <w:proofErr w:type="gramStart"/>
            <w:r w:rsidRPr="00E41DC0">
              <w:rPr>
                <w:rFonts w:eastAsia="Calibri" w:cstheme="minorHAnsi"/>
                <w:bCs/>
              </w:rPr>
              <w:t>patients</w:t>
            </w:r>
            <w:proofErr w:type="gramEnd"/>
            <w:r w:rsidRPr="00E41DC0">
              <w:rPr>
                <w:rFonts w:eastAsia="Calibri" w:cstheme="minorHAnsi"/>
                <w:bCs/>
              </w:rPr>
              <w:t xml:space="preserve"> health needs; and direct messages to patients, can be transferred to the patient in a safe way.</w:t>
            </w:r>
          </w:p>
          <w:p w14:paraId="669092F6" w14:textId="77777777" w:rsidR="006D24A0" w:rsidRPr="00E41DC0" w:rsidRDefault="006D24A0" w:rsidP="006D24A0">
            <w:pPr>
              <w:jc w:val="both"/>
              <w:rPr>
                <w:rFonts w:eastAsia="Calibri" w:cstheme="minorHAnsi"/>
                <w:b/>
                <w:bCs/>
              </w:rPr>
            </w:pPr>
          </w:p>
          <w:p w14:paraId="62962FE1" w14:textId="77777777" w:rsidR="007D0FB5" w:rsidRPr="00E41DC0" w:rsidRDefault="007D0FB5" w:rsidP="007D0FB5">
            <w:pPr>
              <w:jc w:val="both"/>
              <w:rPr>
                <w:rFonts w:eastAsia="Calibri" w:cstheme="minorHAnsi"/>
                <w:bCs/>
              </w:rPr>
            </w:pPr>
            <w:r w:rsidRPr="00E41DC0">
              <w:rPr>
                <w:rFonts w:ascii="Calibri" w:hAnsi="Calibri" w:cs="Calibri"/>
                <w:b/>
                <w:bCs/>
              </w:rPr>
              <w:t>Legal Basis</w:t>
            </w:r>
            <w:r w:rsidRPr="00E41DC0">
              <w:rPr>
                <w:rFonts w:ascii="Calibri" w:hAnsi="Calibri" w:cs="Calibri"/>
              </w:rPr>
              <w:t xml:space="preserve"> – </w:t>
            </w:r>
          </w:p>
          <w:p w14:paraId="36B7B630" w14:textId="77777777" w:rsidR="007D0FB5" w:rsidRPr="00E41DC0" w:rsidRDefault="007D0FB5" w:rsidP="007D0FB5">
            <w:pPr>
              <w:numPr>
                <w:ilvl w:val="0"/>
                <w:numId w:val="1"/>
              </w:numPr>
              <w:autoSpaceDE w:val="0"/>
              <w:autoSpaceDN w:val="0"/>
              <w:adjustRightInd w:val="0"/>
              <w:contextualSpacing/>
              <w:jc w:val="both"/>
              <w:rPr>
                <w:rFonts w:cstheme="minorHAnsi"/>
              </w:rPr>
            </w:pPr>
            <w:r w:rsidRPr="00E41DC0">
              <w:rPr>
                <w:rFonts w:cstheme="minorHAnsi"/>
              </w:rPr>
              <w:t>Article 6(1)(e) ‘…necessary for the performance of a task carried out in the public interest or in the exercise of official authority…’; and</w:t>
            </w:r>
          </w:p>
          <w:p w14:paraId="40D5150C" w14:textId="77777777" w:rsidR="007D0FB5" w:rsidRPr="00E41DC0" w:rsidRDefault="007D0FB5" w:rsidP="007D0FB5">
            <w:pPr>
              <w:pStyle w:val="ListParagraph"/>
              <w:numPr>
                <w:ilvl w:val="0"/>
                <w:numId w:val="1"/>
              </w:numPr>
              <w:autoSpaceDE w:val="0"/>
              <w:autoSpaceDN w:val="0"/>
              <w:rPr>
                <w:rFonts w:ascii="Calibri" w:hAnsi="Calibri" w:cs="Calibri"/>
              </w:rPr>
            </w:pPr>
            <w:r w:rsidRPr="00E41DC0">
              <w:rPr>
                <w:rFonts w:cstheme="minorHAnsi"/>
              </w:rPr>
              <w:t>Article 9(2)(h) ‘necessary for the purposes of preventative or occupational medicine’</w:t>
            </w:r>
          </w:p>
          <w:p w14:paraId="7433ED8D" w14:textId="77777777" w:rsidR="006D24A0" w:rsidRPr="00E41DC0" w:rsidRDefault="006D24A0" w:rsidP="006D24A0">
            <w:pPr>
              <w:pStyle w:val="ListParagraph"/>
              <w:jc w:val="both"/>
              <w:rPr>
                <w:rFonts w:eastAsia="Calibri" w:cstheme="minorHAnsi"/>
              </w:rPr>
            </w:pPr>
          </w:p>
          <w:p w14:paraId="4099C629" w14:textId="20E921D0" w:rsidR="006D24A0" w:rsidRPr="00E41DC0" w:rsidRDefault="006D24A0" w:rsidP="006D24A0">
            <w:pPr>
              <w:jc w:val="both"/>
              <w:rPr>
                <w:rFonts w:eastAsia="Calibri" w:cstheme="minorHAnsi"/>
                <w:b/>
                <w:bCs/>
              </w:rPr>
            </w:pPr>
            <w:proofErr w:type="gramStart"/>
            <w:r w:rsidRPr="00E41DC0">
              <w:rPr>
                <w:rFonts w:eastAsia="Calibri" w:cstheme="minorHAnsi"/>
                <w:b/>
                <w:bCs/>
              </w:rPr>
              <w:t>Provider  -</w:t>
            </w:r>
            <w:proofErr w:type="gramEnd"/>
            <w:r w:rsidRPr="00E41DC0">
              <w:rPr>
                <w:rFonts w:eastAsia="Calibri" w:cstheme="minorHAnsi"/>
                <w:b/>
                <w:bCs/>
              </w:rPr>
              <w:t xml:space="preserve"> </w:t>
            </w:r>
            <w:proofErr w:type="spellStart"/>
            <w:r w:rsidRPr="00E41DC0">
              <w:rPr>
                <w:rFonts w:eastAsia="Calibri" w:cstheme="minorHAnsi"/>
                <w:bCs/>
              </w:rPr>
              <w:t>AccuRX</w:t>
            </w:r>
            <w:proofErr w:type="spellEnd"/>
            <w:r w:rsidRPr="00E41DC0">
              <w:rPr>
                <w:rFonts w:eastAsia="Calibri" w:cstheme="minorHAnsi"/>
                <w:bCs/>
              </w:rPr>
              <w:t xml:space="preserve"> - NHSAPP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58DA7D"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w:t>
            </w:r>
            <w:r w:rsidR="00EE02C4">
              <w:rPr>
                <w:rFonts w:eastAsia="Calibri" w:cstheme="minorHAnsi"/>
                <w:bCs/>
              </w:rPr>
              <w:t xml:space="preserve">identifiable </w:t>
            </w:r>
            <w:r w:rsidRPr="00954E04">
              <w:rPr>
                <w:rFonts w:eastAsia="Calibri" w:cstheme="minorHAnsi"/>
                <w:bCs/>
              </w:rPr>
              <w:t>pictures of children.</w:t>
            </w:r>
          </w:p>
          <w:p w14:paraId="32216110" w14:textId="77777777" w:rsidR="006D24A0" w:rsidRPr="00954E04" w:rsidRDefault="006D24A0" w:rsidP="006D24A0">
            <w:pPr>
              <w:jc w:val="both"/>
              <w:rPr>
                <w:rFonts w:eastAsia="Calibri" w:cstheme="minorHAnsi"/>
                <w:b/>
                <w:bCs/>
              </w:rPr>
            </w:pPr>
          </w:p>
          <w:p w14:paraId="45957FCC" w14:textId="2BAB94B2" w:rsidR="006D24A0" w:rsidRPr="00954E04" w:rsidRDefault="006D24A0" w:rsidP="006D24A0">
            <w:pPr>
              <w:jc w:val="both"/>
              <w:rPr>
                <w:rFonts w:ascii="Calibri" w:eastAsia="Calibri" w:hAnsi="Calibri" w:cstheme="minorHAnsi"/>
                <w:bCs/>
              </w:rPr>
            </w:pPr>
            <w:r w:rsidRPr="00954E04">
              <w:rPr>
                <w:rFonts w:eastAsia="Calibri" w:cstheme="minorHAnsi"/>
                <w:b/>
                <w:bCs/>
              </w:rPr>
              <w:t>Processo</w:t>
            </w:r>
            <w:r w:rsidRPr="00E41DC0">
              <w:rPr>
                <w:rFonts w:eastAsia="Calibri" w:cstheme="minorHAnsi"/>
                <w:b/>
                <w:bCs/>
              </w:rPr>
              <w:t xml:space="preserve">r – </w:t>
            </w:r>
            <w:proofErr w:type="spellStart"/>
            <w:r w:rsidRPr="00E41DC0">
              <w:rPr>
                <w:rFonts w:eastAsia="Calibri" w:cstheme="minorHAnsi"/>
                <w:bCs/>
              </w:rPr>
              <w:t>AccuRX</w:t>
            </w:r>
            <w:proofErr w:type="spellEnd"/>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Pr="00E41DC0" w:rsidRDefault="006D24A0" w:rsidP="006D24A0">
            <w:pPr>
              <w:pStyle w:val="NoSpacing"/>
              <w:jc w:val="both"/>
              <w:rPr>
                <w:rFonts w:cstheme="minorHAnsi"/>
                <w:shd w:val="clear" w:color="auto" w:fill="FFFFFF"/>
              </w:rPr>
            </w:pPr>
            <w:r w:rsidRPr="00E41DC0">
              <w:rPr>
                <w:rFonts w:eastAsia="Calibri" w:cstheme="minorHAnsi"/>
                <w:b/>
                <w:bCs/>
              </w:rPr>
              <w:t xml:space="preserve">Purpose </w:t>
            </w:r>
            <w:r w:rsidRPr="00E41DC0">
              <w:rPr>
                <w:rFonts w:eastAsia="Calibri" w:cstheme="minorHAnsi"/>
                <w:bCs/>
              </w:rPr>
              <w:t xml:space="preserve">– </w:t>
            </w:r>
            <w:r w:rsidRPr="00E41DC0">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Pr="00E41DC0" w:rsidRDefault="006D24A0" w:rsidP="006D24A0">
            <w:pPr>
              <w:pStyle w:val="NoSpacing"/>
              <w:jc w:val="both"/>
              <w:rPr>
                <w:rFonts w:cstheme="minorHAnsi"/>
                <w:shd w:val="clear" w:color="auto" w:fill="FFFFFF"/>
              </w:rPr>
            </w:pPr>
          </w:p>
          <w:p w14:paraId="1CE696A8" w14:textId="77777777" w:rsidR="007D0FB5" w:rsidRPr="00E41DC0" w:rsidRDefault="007D0FB5" w:rsidP="007D0FB5">
            <w:pPr>
              <w:jc w:val="both"/>
              <w:rPr>
                <w:rFonts w:eastAsia="Calibri" w:cstheme="minorHAnsi"/>
                <w:bCs/>
              </w:rPr>
            </w:pPr>
            <w:r w:rsidRPr="00E41DC0">
              <w:rPr>
                <w:rFonts w:ascii="Calibri" w:hAnsi="Calibri" w:cs="Calibri"/>
                <w:b/>
                <w:bCs/>
              </w:rPr>
              <w:t>Legal Basis</w:t>
            </w:r>
            <w:r w:rsidRPr="00E41DC0">
              <w:rPr>
                <w:rFonts w:ascii="Calibri" w:hAnsi="Calibri" w:cs="Calibri"/>
              </w:rPr>
              <w:t xml:space="preserve"> – </w:t>
            </w:r>
          </w:p>
          <w:p w14:paraId="552E6BFE" w14:textId="77777777" w:rsidR="007D0FB5" w:rsidRPr="00E41DC0" w:rsidRDefault="007D0FB5" w:rsidP="007D0FB5">
            <w:pPr>
              <w:numPr>
                <w:ilvl w:val="0"/>
                <w:numId w:val="1"/>
              </w:numPr>
              <w:autoSpaceDE w:val="0"/>
              <w:autoSpaceDN w:val="0"/>
              <w:adjustRightInd w:val="0"/>
              <w:contextualSpacing/>
              <w:jc w:val="both"/>
              <w:rPr>
                <w:rFonts w:cstheme="minorHAnsi"/>
              </w:rPr>
            </w:pPr>
            <w:r w:rsidRPr="00E41DC0">
              <w:rPr>
                <w:rFonts w:cstheme="minorHAnsi"/>
              </w:rPr>
              <w:t>Article 6(1)(e) ‘…necessary for the performance of a task carried out in the public interest or in the exercise of official authority…’; and</w:t>
            </w:r>
          </w:p>
          <w:p w14:paraId="70F1DB9E" w14:textId="77777777" w:rsidR="007D0FB5" w:rsidRPr="00E41DC0" w:rsidRDefault="007D0FB5" w:rsidP="007D0FB5">
            <w:pPr>
              <w:pStyle w:val="ListParagraph"/>
              <w:numPr>
                <w:ilvl w:val="0"/>
                <w:numId w:val="1"/>
              </w:numPr>
              <w:autoSpaceDE w:val="0"/>
              <w:autoSpaceDN w:val="0"/>
              <w:rPr>
                <w:rFonts w:ascii="Calibri" w:hAnsi="Calibri" w:cs="Calibri"/>
              </w:rPr>
            </w:pPr>
            <w:r w:rsidRPr="00E41DC0">
              <w:rPr>
                <w:rFonts w:cstheme="minorHAnsi"/>
              </w:rPr>
              <w:t>Article 9(2)(h) ‘necessary for the purposes of preventative or occupational medicine’</w:t>
            </w:r>
          </w:p>
          <w:p w14:paraId="74DE6B0A" w14:textId="77777777" w:rsidR="006D24A0" w:rsidRPr="00E41DC0" w:rsidRDefault="006D24A0" w:rsidP="006D24A0">
            <w:pPr>
              <w:jc w:val="both"/>
              <w:rPr>
                <w:rFonts w:eastAsia="Calibri" w:cstheme="minorHAnsi"/>
                <w:b/>
                <w:bCs/>
              </w:rPr>
            </w:pPr>
          </w:p>
          <w:p w14:paraId="13BD4EE1" w14:textId="2D83E7B0" w:rsidR="006D24A0" w:rsidRPr="00E41DC0" w:rsidRDefault="006D24A0" w:rsidP="006D24A0">
            <w:pPr>
              <w:jc w:val="both"/>
              <w:rPr>
                <w:rFonts w:eastAsia="Calibri" w:cstheme="minorHAnsi"/>
                <w:b/>
                <w:bCs/>
              </w:rPr>
            </w:pPr>
            <w:r w:rsidRPr="00E41DC0">
              <w:rPr>
                <w:rFonts w:eastAsia="Calibri" w:cstheme="minorHAnsi"/>
                <w:b/>
                <w:bCs/>
              </w:rPr>
              <w:t xml:space="preserve">Processor – </w:t>
            </w:r>
            <w:r w:rsidRPr="00E41DC0">
              <w:rPr>
                <w:rFonts w:eastAsia="Calibri" w:cstheme="minorHAnsi"/>
              </w:rPr>
              <w:t>organisations with whom information is shared</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3C58A9DE" w14:textId="08532423" w:rsidR="006D24A0" w:rsidRPr="00954E04" w:rsidRDefault="006D24A0" w:rsidP="006D24A0">
            <w:pPr>
              <w:numPr>
                <w:ilvl w:val="0"/>
                <w:numId w:val="2"/>
              </w:numPr>
              <w:contextualSpacing/>
            </w:pPr>
            <w:r w:rsidRPr="00954E04">
              <w:t>CVDPREVENT Audit</w:t>
            </w:r>
          </w:p>
          <w:p w14:paraId="795AF090" w14:textId="77777777" w:rsidR="006D24A0" w:rsidRDefault="006D24A0" w:rsidP="006D24A0">
            <w:pPr>
              <w:numPr>
                <w:ilvl w:val="0"/>
                <w:numId w:val="2"/>
              </w:numPr>
              <w:contextualSpacing/>
            </w:pPr>
            <w:r w:rsidRPr="00954E04">
              <w:t>Physical Health Checks for people with Severe Mental Illness</w:t>
            </w:r>
          </w:p>
          <w:p w14:paraId="30796B5D" w14:textId="64E5B058" w:rsidR="00DB541B" w:rsidRPr="00954E04" w:rsidRDefault="00DB541B" w:rsidP="006D24A0">
            <w:pPr>
              <w:numPr>
                <w:ilvl w:val="0"/>
                <w:numId w:val="2"/>
              </w:numPr>
              <w:contextualSpacing/>
            </w:pPr>
            <w:r>
              <w:t>National Obesity Audit</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w:t>
            </w:r>
            <w:proofErr w:type="gramStart"/>
            <w:r w:rsidRPr="00954E04">
              <w:t>certain criteria</w:t>
            </w:r>
            <w:proofErr w:type="gramEnd"/>
            <w:r w:rsidRPr="00954E04">
              <w:t xml:space="preserve">, </w:t>
            </w:r>
            <w:proofErr w:type="gramStart"/>
            <w:r w:rsidRPr="00954E04">
              <w:t>in order to</w:t>
            </w:r>
            <w:proofErr w:type="gramEnd"/>
            <w:r w:rsidRPr="00954E04">
              <w:t xml:space="preserve">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6D24A0" w:rsidP="006D24A0">
            <w:pPr>
              <w:numPr>
                <w:ilvl w:val="0"/>
                <w:numId w:val="3"/>
              </w:numPr>
              <w:contextualSpacing/>
            </w:pPr>
            <w:hyperlink r:id="rId12" w:history="1">
              <w:r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6D24A0" w:rsidP="006D24A0">
            <w:pPr>
              <w:numPr>
                <w:ilvl w:val="0"/>
                <w:numId w:val="3"/>
              </w:numPr>
              <w:contextualSpacing/>
            </w:pPr>
            <w:hyperlink r:id="rId13" w:history="1">
              <w:r w:rsidRPr="00954E04">
                <w:rPr>
                  <w:color w:val="0000FF" w:themeColor="hyperlink"/>
                  <w:u w:val="single"/>
                </w:rPr>
                <w:t xml:space="preserve">NHS England has directed NHS </w:t>
              </w:r>
              <w:r>
                <w:rPr>
                  <w:color w:val="0000FF" w:themeColor="hyperlink"/>
                  <w:u w:val="single"/>
                </w:rPr>
                <w:t>England</w:t>
              </w:r>
              <w:r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2E981DAF" w:rsidR="006D24A0" w:rsidRDefault="006D24A0" w:rsidP="006D24A0">
            <w:pPr>
              <w:numPr>
                <w:ilvl w:val="0"/>
                <w:numId w:val="3"/>
              </w:numPr>
              <w:contextualSpacing/>
            </w:pPr>
            <w:hyperlink r:id="rId14" w:history="1">
              <w:r w:rsidRPr="00954E04">
                <w:rPr>
                  <w:color w:val="0000FF" w:themeColor="hyperlink"/>
                  <w:u w:val="single"/>
                </w:rPr>
                <w:t>GPES Physical Health Checks for people with Severe Mental Illness (PHSMI) data collection</w:t>
              </w:r>
            </w:hyperlink>
            <w:r w:rsidRPr="00954E04">
              <w:t>.</w:t>
            </w:r>
          </w:p>
          <w:p w14:paraId="4885BC5F" w14:textId="77777777" w:rsidR="00DB541B" w:rsidRDefault="00DB541B" w:rsidP="00DB541B">
            <w:pPr>
              <w:pStyle w:val="ListParagraph"/>
            </w:pPr>
          </w:p>
          <w:p w14:paraId="1CB78C15" w14:textId="5B73AC5D" w:rsidR="00DB541B" w:rsidRPr="00954E04" w:rsidRDefault="00DB541B" w:rsidP="006D24A0">
            <w:pPr>
              <w:numPr>
                <w:ilvl w:val="0"/>
                <w:numId w:val="3"/>
              </w:numPr>
              <w:contextualSpacing/>
            </w:pPr>
            <w:hyperlink r:id="rId15" w:history="1">
              <w:r>
                <w:rPr>
                  <w:rStyle w:val="Hyperlink"/>
                </w:rPr>
                <w:t>National Obesity Audit - NHS Digital</w:t>
              </w:r>
            </w:hyperlink>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E41DC0">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D87D428" w:rsidR="007D0FB5" w:rsidRDefault="007D0FB5" w:rsidP="007D0FB5">
            <w:pPr>
              <w:jc w:val="both"/>
              <w:rPr>
                <w:rFonts w:ascii="Calibri" w:hAnsi="Calibri" w:cs="Calibri"/>
              </w:rPr>
            </w:pPr>
            <w:r w:rsidRPr="007D0FB5">
              <w:rPr>
                <w:rFonts w:ascii="Calibri" w:hAnsi="Calibri" w:cs="Calibri"/>
                <w:b/>
                <w:bCs/>
              </w:rPr>
              <w:t>Legal Basis</w:t>
            </w:r>
            <w:r w:rsidRPr="007D0FB5">
              <w:rPr>
                <w:rFonts w:ascii="Calibri" w:hAnsi="Calibri" w:cs="Calibri"/>
              </w:rPr>
              <w:t xml:space="preserve"> – </w:t>
            </w:r>
          </w:p>
          <w:p w14:paraId="3B9C85B4" w14:textId="281492A2" w:rsidR="00EB1B24" w:rsidRPr="00EB1B24" w:rsidRDefault="00EB1B24" w:rsidP="002A1472">
            <w:pPr>
              <w:pStyle w:val="ListParagraph"/>
              <w:numPr>
                <w:ilvl w:val="0"/>
                <w:numId w:val="13"/>
              </w:numPr>
              <w:jc w:val="both"/>
              <w:rPr>
                <w:rFonts w:eastAsia="Calibri" w:cstheme="minorHAnsi"/>
                <w:bCs/>
              </w:rPr>
            </w:pPr>
            <w:r w:rsidRPr="00EB1B24">
              <w:rPr>
                <w:bCs/>
              </w:rPr>
              <w:t>6 1 (a) consent, patients will be asked if they wish to</w:t>
            </w:r>
            <w:r>
              <w:rPr>
                <w:bCs/>
              </w:rPr>
              <w:t xml:space="preserve"> take part in training sessions</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E41DC0">
              <w:rPr>
                <w:bCs/>
              </w:rPr>
              <w:t xml:space="preserve">RCGP, HEE, </w:t>
            </w:r>
            <w:proofErr w:type="spellStart"/>
            <w:r w:rsidRPr="00E41DC0">
              <w:rPr>
                <w:bCs/>
              </w:rPr>
              <w:t>iConnect</w:t>
            </w:r>
            <w:proofErr w:type="spellEnd"/>
            <w:r w:rsidRPr="00E41DC0">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E41DC0">
              <w:lastRenderedPageBreak/>
              <w:t>Telephony</w:t>
            </w:r>
          </w:p>
        </w:tc>
        <w:tc>
          <w:tcPr>
            <w:tcW w:w="6044" w:type="dxa"/>
          </w:tcPr>
          <w:p w14:paraId="434D3227" w14:textId="7D7837B5" w:rsidR="001D52B4" w:rsidRPr="007F7368" w:rsidRDefault="006D24A0" w:rsidP="001D52B4">
            <w:pPr>
              <w:spacing w:after="200" w:line="276" w:lineRule="auto"/>
              <w:rPr>
                <w:color w:val="000000" w:themeColor="text1"/>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w:t>
            </w:r>
            <w:proofErr w:type="gramStart"/>
            <w:r w:rsidRPr="00760EF7">
              <w:rPr>
                <w:bCs/>
              </w:rPr>
              <w:t>internet based</w:t>
            </w:r>
            <w:proofErr w:type="gramEnd"/>
            <w:r w:rsidRPr="00760EF7">
              <w:rPr>
                <w:bCs/>
              </w:rPr>
              <w:t xml:space="preserve">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r w:rsidR="006215A8">
              <w:rPr>
                <w:bCs/>
              </w:rPr>
              <w:t xml:space="preserve">  </w:t>
            </w:r>
            <w:bookmarkStart w:id="0" w:name="_Hlk159313642"/>
            <w:r w:rsidR="001D52B4" w:rsidRPr="007F7368">
              <w:rPr>
                <w:color w:val="000000" w:themeColor="text1"/>
              </w:rPr>
              <w:t xml:space="preserve">We </w:t>
            </w:r>
            <w:r w:rsidR="001D52B4" w:rsidRPr="00E41DC0">
              <w:rPr>
                <w:color w:val="000000" w:themeColor="text1"/>
              </w:rPr>
              <w:t>record incoming and outgoing calls.</w:t>
            </w:r>
          </w:p>
          <w:p w14:paraId="0389E3BB" w14:textId="61215EA7" w:rsidR="001D52B4" w:rsidRPr="007F7368" w:rsidRDefault="001D52B4" w:rsidP="001D52B4">
            <w:pPr>
              <w:pStyle w:val="xxmsonormal"/>
              <w:rPr>
                <w:color w:val="000000" w:themeColor="text1"/>
              </w:rPr>
            </w:pPr>
            <w:r w:rsidRPr="007F7368">
              <w:rPr>
                <w:color w:val="000000" w:themeColor="text1"/>
              </w:rPr>
              <w:t xml:space="preserve">Our phone system is set to automatically retain calls for </w:t>
            </w:r>
            <w:r w:rsidR="00E41DC0">
              <w:rPr>
                <w:color w:val="000000" w:themeColor="text1"/>
              </w:rPr>
              <w:t>90</w:t>
            </w:r>
            <w:r w:rsidRPr="007F7368">
              <w:rPr>
                <w:color w:val="000000" w:themeColor="text1"/>
              </w:rPr>
              <w:t xml:space="preserve"> days. After this point, the recordings are automatically deleted. The </w:t>
            </w:r>
            <w:r w:rsidR="00E41DC0">
              <w:rPr>
                <w:color w:val="000000" w:themeColor="text1"/>
              </w:rPr>
              <w:t>90</w:t>
            </w:r>
            <w:r w:rsidRPr="007F7368">
              <w:rPr>
                <w:color w:val="000000" w:themeColor="text1"/>
              </w:rPr>
              <w:t xml:space="preserve">-day retention period enables us to download and retain exact and unaltered copies of calls where required for medico-legal purposes. </w:t>
            </w:r>
          </w:p>
          <w:bookmarkEnd w:id="0"/>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3A161D8B" w:rsidR="006D24A0" w:rsidRPr="00760EF7" w:rsidRDefault="006D24A0" w:rsidP="006D24A0">
            <w:pPr>
              <w:rPr>
                <w:bCs/>
              </w:rPr>
            </w:pPr>
            <w:r w:rsidRPr="00760EF7">
              <w:rPr>
                <w:b/>
                <w:bCs/>
              </w:rPr>
              <w:t xml:space="preserve">Provider </w:t>
            </w:r>
            <w:r w:rsidRPr="00E41DC0">
              <w:rPr>
                <w:b/>
                <w:bCs/>
              </w:rPr>
              <w:t xml:space="preserve">– </w:t>
            </w:r>
            <w:r w:rsidRPr="00E41DC0">
              <w:rPr>
                <w:bCs/>
              </w:rPr>
              <w:t>Surgery Connect – X-ON</w:t>
            </w:r>
          </w:p>
        </w:tc>
      </w:tr>
      <w:tr w:rsidR="006D24A0" w:rsidRPr="00954E04" w14:paraId="0342850A" w14:textId="77777777" w:rsidTr="00AD412F">
        <w:tc>
          <w:tcPr>
            <w:tcW w:w="2972" w:type="dxa"/>
          </w:tcPr>
          <w:p w14:paraId="793E41E9" w14:textId="77777777" w:rsidR="006D24A0" w:rsidRPr="00E41DC0" w:rsidRDefault="006D24A0" w:rsidP="006D24A0">
            <w:r w:rsidRPr="00E41DC0">
              <w:t>Learning Disability Mortality Programme</w:t>
            </w:r>
          </w:p>
          <w:p w14:paraId="64739329" w14:textId="67B86112" w:rsidR="006D24A0" w:rsidRPr="00954E04" w:rsidRDefault="006D24A0" w:rsidP="006D24A0">
            <w:r w:rsidRPr="00E41DC0">
              <w:t xml:space="preserve">LeDer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lastRenderedPageBreak/>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24E7FB99" w:rsidR="006D24A0" w:rsidRPr="006328B5" w:rsidRDefault="006D24A0" w:rsidP="006D24A0">
            <w:pPr>
              <w:rPr>
                <w:bCs/>
              </w:rPr>
            </w:pPr>
            <w:r>
              <w:rPr>
                <w:bCs/>
              </w:rPr>
              <w:t xml:space="preserve">Where personal confidential data is used for </w:t>
            </w:r>
            <w:r w:rsidR="001D52B4">
              <w:rPr>
                <w:bCs/>
              </w:rPr>
              <w:t>r</w:t>
            </w:r>
            <w:r>
              <w:rPr>
                <w:bCs/>
              </w:rPr>
              <w:t xml:space="preserve">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7D799598" w:rsidR="006D24A0" w:rsidRDefault="006D24A0" w:rsidP="006D24A0">
            <w:r>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0F5CFD99" w:rsidR="006D24A0" w:rsidRDefault="006D24A0" w:rsidP="006D24A0">
            <w:pPr>
              <w:rPr>
                <w:b/>
              </w:rPr>
            </w:pPr>
            <w:r>
              <w:rPr>
                <w:b/>
              </w:rPr>
              <w:t xml:space="preserve">Processor: </w:t>
            </w:r>
            <w:r w:rsidR="007E53C4">
              <w:rPr>
                <w:bCs/>
              </w:rPr>
              <w:t>Buckinghamshire ICB</w:t>
            </w:r>
          </w:p>
        </w:tc>
      </w:tr>
      <w:tr w:rsidR="00A84B7C" w:rsidRPr="00954E04" w14:paraId="2E808FC9" w14:textId="77777777" w:rsidTr="00AD412F">
        <w:tc>
          <w:tcPr>
            <w:tcW w:w="2972" w:type="dxa"/>
          </w:tcPr>
          <w:p w14:paraId="3D6CBE30" w14:textId="48C77A32" w:rsidR="00A84B7C" w:rsidRDefault="00A84B7C" w:rsidP="006D24A0">
            <w:r>
              <w:t>Medication Reviews</w:t>
            </w:r>
          </w:p>
        </w:tc>
        <w:tc>
          <w:tcPr>
            <w:tcW w:w="6044" w:type="dxa"/>
          </w:tcPr>
          <w:p w14:paraId="5A6BA760" w14:textId="77777777" w:rsidR="00A84B7C" w:rsidRPr="00950EB0" w:rsidRDefault="00A84B7C" w:rsidP="00A84B7C">
            <w:pPr>
              <w:jc w:val="both"/>
              <w:rPr>
                <w:rFonts w:cstheme="minorHAnsi"/>
              </w:rPr>
            </w:pPr>
            <w:r w:rsidRPr="00950EB0">
              <w:rPr>
                <w:rFonts w:cstheme="minorHAnsi"/>
                <w:b/>
                <w:bCs/>
              </w:rPr>
              <w:t>Purpose</w:t>
            </w:r>
            <w:r w:rsidRPr="00950EB0">
              <w:rPr>
                <w:rFonts w:cstheme="minorHAnsi"/>
              </w:rPr>
              <w:t xml:space="preserve">: To support the management and review of patients with chronic conditions, specifically Chronic Obstructive Pulmonary Disease (COPD), Asthma and Diabetes. </w:t>
            </w:r>
          </w:p>
          <w:p w14:paraId="6F0101C9" w14:textId="77777777" w:rsidR="00A84B7C" w:rsidRPr="00950EB0" w:rsidRDefault="00A84B7C" w:rsidP="00A84B7C">
            <w:pPr>
              <w:jc w:val="both"/>
              <w:rPr>
                <w:rFonts w:cstheme="minorHAnsi"/>
              </w:rPr>
            </w:pPr>
          </w:p>
          <w:p w14:paraId="14AE7C26" w14:textId="0AF3A272" w:rsidR="00A84B7C" w:rsidRPr="00950EB0" w:rsidRDefault="00A84B7C" w:rsidP="00A84B7C">
            <w:pPr>
              <w:jc w:val="both"/>
              <w:rPr>
                <w:rFonts w:cstheme="minorHAnsi"/>
              </w:rPr>
            </w:pPr>
            <w:r w:rsidRPr="00950EB0">
              <w:rPr>
                <w:rFonts w:cstheme="minorHAnsi"/>
                <w:b/>
                <w:bCs/>
              </w:rPr>
              <w:t>Legal Basis</w:t>
            </w:r>
            <w:r>
              <w:rPr>
                <w:rFonts w:cstheme="minorHAnsi"/>
                <w:b/>
                <w:bCs/>
              </w:rPr>
              <w:t>-</w:t>
            </w:r>
          </w:p>
          <w:p w14:paraId="04DD88A9" w14:textId="772BF8AD" w:rsidR="00A84B7C" w:rsidRPr="00A84B7C" w:rsidRDefault="00A84B7C" w:rsidP="00A84B7C">
            <w:pPr>
              <w:pStyle w:val="ListParagraph"/>
              <w:numPr>
                <w:ilvl w:val="0"/>
                <w:numId w:val="14"/>
              </w:numPr>
              <w:jc w:val="both"/>
              <w:rPr>
                <w:rFonts w:cstheme="minorHAnsi"/>
              </w:rPr>
            </w:pPr>
            <w:r w:rsidRPr="00A84B7C">
              <w:rPr>
                <w:rFonts w:cstheme="minorHAnsi"/>
              </w:rPr>
              <w:t>Article 6(1)e - “processing is necessary for the performance of a task carried out in the public interest or in the exercise of official authority vested in the controller”</w:t>
            </w:r>
            <w:r>
              <w:rPr>
                <w:rFonts w:cstheme="minorHAnsi"/>
              </w:rPr>
              <w:t xml:space="preserve"> and</w:t>
            </w:r>
          </w:p>
          <w:p w14:paraId="41D0807B" w14:textId="77777777" w:rsidR="00A84B7C" w:rsidRPr="00A84B7C" w:rsidRDefault="00A84B7C" w:rsidP="00A84B7C">
            <w:pPr>
              <w:pStyle w:val="ListParagraph"/>
              <w:numPr>
                <w:ilvl w:val="0"/>
                <w:numId w:val="14"/>
              </w:numPr>
              <w:jc w:val="both"/>
              <w:rPr>
                <w:rFonts w:cstheme="minorHAnsi"/>
              </w:rPr>
            </w:pPr>
            <w:r w:rsidRPr="00A84B7C">
              <w:rPr>
                <w:rFonts w:cstheme="minorHAnsi"/>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6DDB44A" w14:textId="77777777" w:rsidR="00A84B7C" w:rsidRPr="00950EB0" w:rsidRDefault="00A84B7C" w:rsidP="00A84B7C">
            <w:pPr>
              <w:jc w:val="both"/>
              <w:rPr>
                <w:rFonts w:cstheme="minorHAnsi"/>
              </w:rPr>
            </w:pPr>
          </w:p>
          <w:p w14:paraId="0FC90990" w14:textId="37D6CAD1" w:rsidR="00A84B7C" w:rsidRPr="00A84B7C" w:rsidRDefault="00A84B7C" w:rsidP="00A84B7C">
            <w:pPr>
              <w:jc w:val="both"/>
              <w:rPr>
                <w:rFonts w:cstheme="minorHAnsi"/>
              </w:rPr>
            </w:pPr>
            <w:r w:rsidRPr="00950EB0">
              <w:rPr>
                <w:rFonts w:cstheme="minorHAnsi"/>
                <w:b/>
                <w:bCs/>
              </w:rPr>
              <w:t>Processor</w:t>
            </w:r>
            <w:r w:rsidRPr="00950EB0">
              <w:rPr>
                <w:rFonts w:cstheme="minorHAnsi"/>
              </w:rPr>
              <w:t>: Interface Clinical Services Ltd</w:t>
            </w:r>
          </w:p>
        </w:tc>
      </w:tr>
      <w:bookmarkEnd w:id="1"/>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10FEECD6" w14:textId="70F36192" w:rsidR="00FB0D05" w:rsidRPr="007E53C4" w:rsidRDefault="00954E04" w:rsidP="007E53C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A84B7C">
        <w:rPr>
          <w:rFonts w:eastAsia="Times New Roman" w:cstheme="minorHAnsi"/>
          <w:color w:val="000000" w:themeColor="text1"/>
          <w:lang w:val="en-US" w:eastAsia="en-GB"/>
        </w:rPr>
        <w:t>July 2025</w:t>
      </w:r>
      <w:r w:rsidRPr="00954E04">
        <w:rPr>
          <w:rFonts w:eastAsia="Times New Roman" w:cstheme="minorHAnsi"/>
          <w:color w:val="000000" w:themeColor="text1"/>
          <w:lang w:val="en-US" w:eastAsia="en-GB"/>
        </w:rPr>
        <w:t>.</w:t>
      </w:r>
    </w:p>
    <w:sectPr w:rsidR="00FB0D05" w:rsidRPr="007E53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3D7D" w14:textId="77777777" w:rsidR="00B306B5" w:rsidRDefault="00B306B5" w:rsidP="00F07ECC">
      <w:pPr>
        <w:spacing w:after="0" w:line="240" w:lineRule="auto"/>
      </w:pPr>
      <w:r>
        <w:separator/>
      </w:r>
    </w:p>
  </w:endnote>
  <w:endnote w:type="continuationSeparator" w:id="0">
    <w:p w14:paraId="6547AB0A" w14:textId="77777777" w:rsidR="00B306B5" w:rsidRDefault="00B306B5"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50E4462C" w:rsidR="00BC50D8" w:rsidRDefault="00BC50D8">
    <w:pPr>
      <w:pStyle w:val="Footer"/>
    </w:pPr>
    <w:r>
      <w:t>Appendix A – GP Privacy Notice V</w:t>
    </w:r>
    <w:r w:rsidR="00D504B6">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5102" w14:textId="77777777" w:rsidR="00B306B5" w:rsidRDefault="00B306B5" w:rsidP="00F07ECC">
      <w:pPr>
        <w:spacing w:after="0" w:line="240" w:lineRule="auto"/>
      </w:pPr>
      <w:r>
        <w:separator/>
      </w:r>
    </w:p>
  </w:footnote>
  <w:footnote w:type="continuationSeparator" w:id="0">
    <w:p w14:paraId="2C7570A7" w14:textId="77777777" w:rsidR="00B306B5" w:rsidRDefault="00B306B5"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B2E0" w14:textId="2C312B7E" w:rsidR="00BC50D8" w:rsidRDefault="00FE167B" w:rsidP="00F07ECC">
    <w:pPr>
      <w:pStyle w:val="Header"/>
      <w:jc w:val="right"/>
    </w:pPr>
    <w:r>
      <w:rPr>
        <w:noProof/>
      </w:rPr>
      <w:drawing>
        <wp:anchor distT="0" distB="0" distL="114300" distR="114300" simplePos="0" relativeHeight="251658240" behindDoc="0" locked="0" layoutInCell="1" allowOverlap="1" wp14:anchorId="755E54FD" wp14:editId="1A86332A">
          <wp:simplePos x="0" y="0"/>
          <wp:positionH relativeFrom="margin">
            <wp:align>center</wp:align>
          </wp:positionH>
          <wp:positionV relativeFrom="paragraph">
            <wp:posOffset>-306705</wp:posOffset>
          </wp:positionV>
          <wp:extent cx="2647950" cy="1080770"/>
          <wp:effectExtent l="0" t="0" r="0" b="5080"/>
          <wp:wrapTopAndBottom/>
          <wp:docPr id="978373760"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73760" name="Picture 1" descr="A close-up of a business ca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47950"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180D"/>
    <w:multiLevelType w:val="hybridMultilevel"/>
    <w:tmpl w:val="9ABE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701AB"/>
    <w:multiLevelType w:val="hybridMultilevel"/>
    <w:tmpl w:val="7AA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84130">
    <w:abstractNumId w:val="0"/>
  </w:num>
  <w:num w:numId="2" w16cid:durableId="499009569">
    <w:abstractNumId w:val="11"/>
  </w:num>
  <w:num w:numId="3" w16cid:durableId="83385745">
    <w:abstractNumId w:val="8"/>
  </w:num>
  <w:num w:numId="4" w16cid:durableId="30766426">
    <w:abstractNumId w:val="3"/>
  </w:num>
  <w:num w:numId="5" w16cid:durableId="68551050">
    <w:abstractNumId w:val="7"/>
  </w:num>
  <w:num w:numId="6" w16cid:durableId="83768655">
    <w:abstractNumId w:val="13"/>
  </w:num>
  <w:num w:numId="7" w16cid:durableId="707141479">
    <w:abstractNumId w:val="2"/>
  </w:num>
  <w:num w:numId="8" w16cid:durableId="1804889350">
    <w:abstractNumId w:val="12"/>
  </w:num>
  <w:num w:numId="9" w16cid:durableId="1538930953">
    <w:abstractNumId w:val="9"/>
  </w:num>
  <w:num w:numId="10" w16cid:durableId="1327829009">
    <w:abstractNumId w:val="5"/>
  </w:num>
  <w:num w:numId="11" w16cid:durableId="1412123067">
    <w:abstractNumId w:val="4"/>
  </w:num>
  <w:num w:numId="12" w16cid:durableId="1732536762">
    <w:abstractNumId w:val="10"/>
  </w:num>
  <w:num w:numId="13" w16cid:durableId="821385879">
    <w:abstractNumId w:val="6"/>
  </w:num>
  <w:num w:numId="14" w16cid:durableId="187885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62456"/>
    <w:rsid w:val="00070977"/>
    <w:rsid w:val="00075938"/>
    <w:rsid w:val="000B1FBD"/>
    <w:rsid w:val="000B4F9E"/>
    <w:rsid w:val="000C022F"/>
    <w:rsid w:val="000C1122"/>
    <w:rsid w:val="000D063B"/>
    <w:rsid w:val="000D0ADB"/>
    <w:rsid w:val="0012209A"/>
    <w:rsid w:val="00125E31"/>
    <w:rsid w:val="0016008F"/>
    <w:rsid w:val="0019184A"/>
    <w:rsid w:val="00196EFB"/>
    <w:rsid w:val="001B38AE"/>
    <w:rsid w:val="001C176E"/>
    <w:rsid w:val="001D52B4"/>
    <w:rsid w:val="001F5522"/>
    <w:rsid w:val="00201C96"/>
    <w:rsid w:val="00211D4E"/>
    <w:rsid w:val="00250E21"/>
    <w:rsid w:val="00254F48"/>
    <w:rsid w:val="002758F4"/>
    <w:rsid w:val="00280886"/>
    <w:rsid w:val="00296933"/>
    <w:rsid w:val="002A1C6F"/>
    <w:rsid w:val="002B05A9"/>
    <w:rsid w:val="002E0251"/>
    <w:rsid w:val="002F2E2E"/>
    <w:rsid w:val="002F6A9F"/>
    <w:rsid w:val="0033147B"/>
    <w:rsid w:val="0036496C"/>
    <w:rsid w:val="00374DFC"/>
    <w:rsid w:val="00376A3F"/>
    <w:rsid w:val="003774A3"/>
    <w:rsid w:val="00380AF8"/>
    <w:rsid w:val="003A4D37"/>
    <w:rsid w:val="003A79D5"/>
    <w:rsid w:val="003B3436"/>
    <w:rsid w:val="003B4E54"/>
    <w:rsid w:val="003D2DA9"/>
    <w:rsid w:val="003E1630"/>
    <w:rsid w:val="00420D53"/>
    <w:rsid w:val="00437C2E"/>
    <w:rsid w:val="00443202"/>
    <w:rsid w:val="00446A8E"/>
    <w:rsid w:val="00466A4F"/>
    <w:rsid w:val="004A414D"/>
    <w:rsid w:val="004C3AAC"/>
    <w:rsid w:val="004C658D"/>
    <w:rsid w:val="004E2F96"/>
    <w:rsid w:val="004F3B41"/>
    <w:rsid w:val="004F7731"/>
    <w:rsid w:val="0053543D"/>
    <w:rsid w:val="00537413"/>
    <w:rsid w:val="00572456"/>
    <w:rsid w:val="00581B5F"/>
    <w:rsid w:val="005B4A31"/>
    <w:rsid w:val="005C12D6"/>
    <w:rsid w:val="005D5956"/>
    <w:rsid w:val="0061658B"/>
    <w:rsid w:val="006215A8"/>
    <w:rsid w:val="006317AE"/>
    <w:rsid w:val="006319B1"/>
    <w:rsid w:val="006324ED"/>
    <w:rsid w:val="006328B5"/>
    <w:rsid w:val="00652657"/>
    <w:rsid w:val="0067779A"/>
    <w:rsid w:val="0068088A"/>
    <w:rsid w:val="006A3B03"/>
    <w:rsid w:val="006C597C"/>
    <w:rsid w:val="006D24A0"/>
    <w:rsid w:val="006D63D4"/>
    <w:rsid w:val="006F320C"/>
    <w:rsid w:val="00703C18"/>
    <w:rsid w:val="007265D5"/>
    <w:rsid w:val="00732133"/>
    <w:rsid w:val="00742FB9"/>
    <w:rsid w:val="00760EF7"/>
    <w:rsid w:val="00767AE0"/>
    <w:rsid w:val="007A555F"/>
    <w:rsid w:val="007B4353"/>
    <w:rsid w:val="007D0FB5"/>
    <w:rsid w:val="007D6078"/>
    <w:rsid w:val="007E53C4"/>
    <w:rsid w:val="008003AF"/>
    <w:rsid w:val="00807DA7"/>
    <w:rsid w:val="008111C5"/>
    <w:rsid w:val="0081508E"/>
    <w:rsid w:val="00832B9F"/>
    <w:rsid w:val="00834B6F"/>
    <w:rsid w:val="00856678"/>
    <w:rsid w:val="0087607D"/>
    <w:rsid w:val="00891273"/>
    <w:rsid w:val="008A0658"/>
    <w:rsid w:val="008A4C01"/>
    <w:rsid w:val="008B1236"/>
    <w:rsid w:val="008B203B"/>
    <w:rsid w:val="008D3D82"/>
    <w:rsid w:val="008F375A"/>
    <w:rsid w:val="00902769"/>
    <w:rsid w:val="00944040"/>
    <w:rsid w:val="00954E04"/>
    <w:rsid w:val="00954EDA"/>
    <w:rsid w:val="00975570"/>
    <w:rsid w:val="0099393D"/>
    <w:rsid w:val="009E079A"/>
    <w:rsid w:val="009E3115"/>
    <w:rsid w:val="009E638D"/>
    <w:rsid w:val="00A126AF"/>
    <w:rsid w:val="00A43FFC"/>
    <w:rsid w:val="00A62F51"/>
    <w:rsid w:val="00A84B7C"/>
    <w:rsid w:val="00AA0BD9"/>
    <w:rsid w:val="00AA1834"/>
    <w:rsid w:val="00AA2EE5"/>
    <w:rsid w:val="00AA53E1"/>
    <w:rsid w:val="00AC56E0"/>
    <w:rsid w:val="00AD412F"/>
    <w:rsid w:val="00AD73E4"/>
    <w:rsid w:val="00AE6C65"/>
    <w:rsid w:val="00AE6F95"/>
    <w:rsid w:val="00B15684"/>
    <w:rsid w:val="00B306B5"/>
    <w:rsid w:val="00B3249D"/>
    <w:rsid w:val="00B43102"/>
    <w:rsid w:val="00B5292B"/>
    <w:rsid w:val="00B64E34"/>
    <w:rsid w:val="00B97912"/>
    <w:rsid w:val="00BB2FC9"/>
    <w:rsid w:val="00BB7935"/>
    <w:rsid w:val="00BC50D8"/>
    <w:rsid w:val="00C058D2"/>
    <w:rsid w:val="00C13251"/>
    <w:rsid w:val="00C1555E"/>
    <w:rsid w:val="00C53F1F"/>
    <w:rsid w:val="00C761F4"/>
    <w:rsid w:val="00C8563C"/>
    <w:rsid w:val="00C9513D"/>
    <w:rsid w:val="00CD5254"/>
    <w:rsid w:val="00CE7BEB"/>
    <w:rsid w:val="00CF58A3"/>
    <w:rsid w:val="00D1039F"/>
    <w:rsid w:val="00D10832"/>
    <w:rsid w:val="00D11933"/>
    <w:rsid w:val="00D17811"/>
    <w:rsid w:val="00D44587"/>
    <w:rsid w:val="00D504B6"/>
    <w:rsid w:val="00D53DB7"/>
    <w:rsid w:val="00D608F7"/>
    <w:rsid w:val="00D700FB"/>
    <w:rsid w:val="00D72537"/>
    <w:rsid w:val="00D82467"/>
    <w:rsid w:val="00DB541B"/>
    <w:rsid w:val="00DC294A"/>
    <w:rsid w:val="00DE6928"/>
    <w:rsid w:val="00DF059C"/>
    <w:rsid w:val="00E12637"/>
    <w:rsid w:val="00E1332B"/>
    <w:rsid w:val="00E26A8A"/>
    <w:rsid w:val="00E41DC0"/>
    <w:rsid w:val="00E476C3"/>
    <w:rsid w:val="00E70EFA"/>
    <w:rsid w:val="00E71340"/>
    <w:rsid w:val="00E80A35"/>
    <w:rsid w:val="00E86F49"/>
    <w:rsid w:val="00E94B61"/>
    <w:rsid w:val="00EA0773"/>
    <w:rsid w:val="00EB1B24"/>
    <w:rsid w:val="00EE02C4"/>
    <w:rsid w:val="00EE2824"/>
    <w:rsid w:val="00EF4690"/>
    <w:rsid w:val="00F05CC2"/>
    <w:rsid w:val="00F07ECC"/>
    <w:rsid w:val="00F33E75"/>
    <w:rsid w:val="00F43B77"/>
    <w:rsid w:val="00F56F7E"/>
    <w:rsid w:val="00F57EFA"/>
    <w:rsid w:val="00F95036"/>
    <w:rsid w:val="00FB0D05"/>
    <w:rsid w:val="00FC31C9"/>
    <w:rsid w:val="00FD7904"/>
    <w:rsid w:val="00FE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paragraph" w:customStyle="1" w:styleId="xxmsonormal">
    <w:name w:val="x_x_msonormal"/>
    <w:basedOn w:val="Normal"/>
    <w:rsid w:val="006215A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651524269">
      <w:bodyDiv w:val="1"/>
      <w:marLeft w:val="0"/>
      <w:marRight w:val="0"/>
      <w:marTop w:val="0"/>
      <w:marBottom w:val="0"/>
      <w:divBdr>
        <w:top w:val="none" w:sz="0" w:space="0" w:color="auto"/>
        <w:left w:val="none" w:sz="0" w:space="0" w:color="auto"/>
        <w:bottom w:val="none" w:sz="0" w:space="0" w:color="auto"/>
        <w:right w:val="none" w:sz="0" w:space="0" w:color="auto"/>
      </w:divBdr>
    </w:div>
    <w:div w:id="1003704890">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C8EA-3720-49C3-8707-15F4A30E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ELSON, Anna (HADDENHAM MEDICAL CENTRE)</cp:lastModifiedBy>
  <cp:revision>3</cp:revision>
  <dcterms:created xsi:type="dcterms:W3CDTF">2025-06-11T13:47:00Z</dcterms:created>
  <dcterms:modified xsi:type="dcterms:W3CDTF">2025-06-11T13:47:00Z</dcterms:modified>
</cp:coreProperties>
</file>